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 N ______</w:t>
      </w:r>
    </w:p>
    <w:p w:rsidR="00415D8A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платных образовательных услуг в сфере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0A7587" w:rsidRPr="00DD0C31" w:rsidRDefault="000A7587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5D8A" w:rsidRPr="00DD0C31" w:rsidRDefault="00415D8A" w:rsidP="000A758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г. Казань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«___»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 201___ г.</w:t>
      </w:r>
    </w:p>
    <w:p w:rsidR="00415D8A" w:rsidRPr="00DD0C31" w:rsidRDefault="000A7587" w:rsidP="00DD0C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научное бюджетное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Академия наук Республики Татарстан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», именуемое в дальнейшем «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», действующ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лицензии 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 xml:space="preserve">серия 90Л01 №0001000 от 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4F40" w:rsidRPr="00D94F40">
        <w:rPr>
          <w:rFonts w:ascii="Times New Roman" w:hAnsi="Times New Roman" w:cs="Times New Roman"/>
          <w:color w:val="000000"/>
          <w:sz w:val="24"/>
          <w:szCs w:val="24"/>
        </w:rPr>
        <w:t>0января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94F40" w:rsidRPr="00D94F4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D94F40" w:rsidRPr="00D94F40">
        <w:rPr>
          <w:rFonts w:ascii="Times New Roman" w:hAnsi="Times New Roman" w:cs="Times New Roman"/>
          <w:color w:val="000000"/>
          <w:sz w:val="24"/>
          <w:szCs w:val="24"/>
        </w:rPr>
        <w:t>рег.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>№09</w:t>
      </w:r>
      <w:r w:rsidR="00D94F40" w:rsidRPr="00D94F40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 xml:space="preserve">, выданной Федеральной службой по надзору в сфере образования и науки,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президента Салахова М.Х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., действующего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B841E2" w:rsidRPr="00B841E2" w:rsidTr="00B841E2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B841E2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(Ф.И.О. совершеннолетнего, заключающего договор от своего имени)</w:t>
            </w:r>
          </w:p>
        </w:tc>
      </w:tr>
      <w:tr w:rsidR="00B841E2" w:rsidRPr="00B841E2" w:rsidTr="00B841E2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B841E2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или Ф.И.О., родителя (законного представителя) несовершеннолетнего или наименование организации, с указанием Ф.И.О., 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B841E2" w:rsidRPr="00B841E2" w:rsidTr="00B841E2">
        <w:tc>
          <w:tcPr>
            <w:tcW w:w="9923" w:type="dxa"/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415D8A" w:rsidRPr="00DD0C31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(далее – «Заказчик»),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B841E2" w:rsidRPr="00B841E2" w:rsidTr="00740AD1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740A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740AD1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(далее – «Обучающийся»), с другой стороны, вместе именуемые «Стороны», заключили настоящий Договор о нижеследующем:</w:t>
      </w:r>
    </w:p>
    <w:p w:rsidR="00415D8A" w:rsidRPr="000A758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87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предоставить образовательную услугу, а ________________________________ обязуется оплатить обучение 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415D8A" w:rsidRPr="00E4263C" w:rsidRDefault="00415D8A" w:rsidP="00DD0C3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426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Обучающийся/Заказчик</w:t>
      </w:r>
    </w:p>
    <w:p w:rsidR="00B841E2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по образовательнойпрограмме________________________________________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415D8A" w:rsidRPr="000A7587" w:rsidRDefault="00415D8A" w:rsidP="00B841E2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B841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уровень и </w:t>
      </w: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наименование образовательной программы</w:t>
      </w:r>
      <w:r w:rsidR="00B841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форма обучения, код, наименование профессии, специальности или направления подготовки)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(количество месяцев, лет)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(документ об образовании и (или) о квалификации)</w:t>
      </w:r>
    </w:p>
    <w:p w:rsidR="00415D8A" w:rsidRPr="000A758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87"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образовательный процесс, устанавливатьсистемы оценок, формы, порядок и периодичность промежуточной аттестацииОбучающегося.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2.1.2. Применять к Обучающемуся меры поощрения и меры дисциплинарноговзыскания в соответствии с законодательством Российской Федерации, Уставом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 настоящим Договором и локальными нормативными актами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2.2. Заказчик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2.2.1. Получать информацию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организации иобеспечения надлежащего предоставления услуг, предусмотренных разделом 1настоящего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2.2.2. Получать информацию об успеваемости, поведении, отношенииОбучающегося к учебе в целом и по отдельным предметам учебного плана.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 Обучающийся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2.3.1. Получать информацию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организации иобеспечения надлежащего предоставления услуг, предусмотренных разделом 1настоящего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2.3.2. Пользоваться в порядке, установленном локальными нормативными актами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 имуществом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необходимым для освоения образовательнойпрограммы.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2.3.3. Принимать в порядке, установленном локальными нормативными актами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 участие в культурно-массовых, физкультурных, оздоровительных и иныхмероприятиях, организованных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2.3.4. Получать полную и достоверную информацию об оценке своих знаний,умений, навыков и компетенций, а также о критериях этой оценки.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2.3.5. Заниматься научной деятельностью.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2.3.6. Обучающемуся предоставляются иные академические права в соответствии сч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1 ст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34 Федерального закона от 29.12.2012 г. № 273-ФЗ «Об образовании вРоссийской Федерации».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обязан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1. Зачислить Обучающегося, выполнившего установленные законодательствомРоссийской Федерации, Уставом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локальными нормативными актами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приема, а также осуществившего оплату за обучение понастоящему Договору в качестве 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4662E" w:rsidRDefault="00415D8A" w:rsidP="000466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466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(категория Обучающегося)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Зачисление в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на основании приказа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в сроки,установленные Правилами приема 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 xml:space="preserve">в Академию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при условии оплатыуслуг в размере, порядке и сроки предусмотренные настоящим Договором.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2. Довести до Заказчика информацию, содержащую сведения о предоставленииплатных образовательных услуг в порядке и объеме, которые предусмотреныФедеральным законом от 29.12.2012 г. № 273-ФЗ «Об образовании в РоссийскойФедерации», Законом Российской Федерации от 07.02.1992 г.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2300-1 «О защите правпотребителей».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3. Организовать и обеспечить надлежащее предоставление образовательныхуслуг, предусмотренных разделом I настоящего Договора. Образовательные услугиоказываются в соответствии с федеральным государственным образовательнымстандартом или образовательным стандартом, учебным планом, в том числеиндивидуальным, и расписанием занятий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4. Обеспечить Обучающемуся предусмотренные выбранной образовательнойпрограммой условия ее освоения.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5. Принимать от Обучающегося и (или) Заказчика плату за образовательныеуслуги.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6. Обеспечить Обучающемуся уважение человеческого достоинства, защиту отвсех форм физического и психического насилия, оскорбления личности, охрану жизни издоровья.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обязуется: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1. Своевременно производить плату за предоставляемые услуги, по настоящемуДоговору, в размере, порядке и в сроки, установленные настоящим Договором, а такжепредоставлять платежные документы, подтверждающие такую оплату.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 При зачислении Обучающегося и в процессе его обучения своевременнопредоставлять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BC596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все необходимые документы.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3. В письменной форме извещать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 уважительных причинахотсутствия Обучающегося на занятиях.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 Возмещать ущерб, причиненный Обучающимся имуществу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всоответствии с законодательством Российской Федерации.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5. Обеспечить посещение Обучающимся занятий, согласно расписаниюзанятий, выполнение им всех видов заданий, предусмотренных учебным планом иобразовательными программами высшего образования.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обязуется: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1. Посещать занятия, согласно расписанию занятий, добросовестно выполнятьвсе задания, предусмотренные учебным планом и образовательными программамивысшего образования.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 В установленные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сроки проходить контроль и аттестациюзнаний по каждому виду учебных занятий, включенных в учебный план в соответствии слокальным актом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3. Соблюдать Устав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Правила внутреннего распорядка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Правила внутреннего распорядка об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учающихся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 выполнятьтребования других локальных нормативных актов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приказы и распоряжения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и распоряжения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руководителя учебного подразделенияАкадемии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 Бережно относиться к имуществу, материальным ценностям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 В течение 5 рабочих дней письменно извещать администрацию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 причинах пропуска занятий. Извещение направляется на имя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 через руководителя учебного подразделения 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4662E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62E">
        <w:rPr>
          <w:rFonts w:ascii="Times New Roman" w:hAnsi="Times New Roman" w:cs="Times New Roman"/>
          <w:b/>
          <w:color w:val="000000"/>
          <w:sz w:val="24"/>
          <w:szCs w:val="24"/>
        </w:rPr>
        <w:t>3. Стоимость образовательных услуг, сроки и порядок их оплаты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3.1. Полная стоимость образовательных услуг, предусмотренных разделом I настоящего Договора, за весь период обучения Обучающегося складывается из суммы стоимости за каждый год обучения и на момент подписания настоящего Договора составляет _____________(_____________________________________________) рублей.</w:t>
      </w:r>
    </w:p>
    <w:p w:rsidR="00415D8A" w:rsidRDefault="00494332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услуг за каждый учебный год по настоящему Договору устанавливается ежегодно 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</w:t>
      </w:r>
      <w:r w:rsidR="00641FF6" w:rsidRPr="00641FF6">
        <w:rPr>
          <w:rFonts w:ascii="Times New Roman" w:hAnsi="Times New Roman" w:cs="Times New Roman"/>
          <w:color w:val="000000"/>
          <w:sz w:val="24"/>
          <w:szCs w:val="24"/>
        </w:rPr>
        <w:t>действующего законодательства, индексации, фонда оплаты труда профессорско-преподавательского состава, размера стоимости коммунальных, эксплуатационных услуг и прочих расходов,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5D8A" w:rsidRPr="00DD0C31" w:rsidRDefault="00494332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Заказчик оплачивает услуги, предусмотренные настоящим Договором ежегодно вследующем порядке: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- за первый год обучения в размере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 __________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(___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____________) рублейоплата производится Заказчиком в течение 5 рабочих дней после размещения информациина официальном сайте и на информационном стенде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овынесени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иприемной комиссией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решениярекомендовать абитуриента к зачислению в число обучающихся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- за каждый последующий год обучения по настоящему Договору Заказчикпроизводит оплату в размере стоимости очередного года обучения, утвержденнойприказом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в следующие сроки: за первый семестр текущегоучебного года в срок до 1 сентября и за второй семестр текущего учебного года до 1февраля.</w:t>
      </w:r>
    </w:p>
    <w:p w:rsidR="00641FF6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 Увеличение стоимости образовательных услуг после заключения настоящегоДоговора не допускается, за исключением увеличения стоимости указанных услуг сучетом уровня инфляции, предусмотренного основными характеристиками федеральногобюджета на очередной финансовый год и плановый период.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Стороны пришли к соглашению, что 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зменени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обучения на очередной учебный год(полной стоимости обучения) по сравнению с предыдущим годом</w:t>
      </w:r>
      <w:r w:rsidR="00641FF6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наосновании приказа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="00641FF6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641FF6" w:rsidRPr="00641FF6">
        <w:rPr>
          <w:rFonts w:ascii="Times New Roman" w:hAnsi="Times New Roman" w:cs="Times New Roman"/>
          <w:color w:val="000000"/>
          <w:sz w:val="24"/>
          <w:szCs w:val="24"/>
        </w:rPr>
        <w:t>производится без заключения дополнительного соглашения.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 Заказчик обязан предоставить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копии (с предъявлениемподлинников) документов, подтверждающих оплату услуг: при оплате через квитанции вотделениях банка – во всех случаях, при оплате платежным поручением – по требованию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Днем оплаты считается день поступления средств на расчетный счет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494332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3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 w:rsidRPr="004943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. Подтверждением оказания услуг </w:t>
      </w:r>
      <w:r w:rsidR="0004662E" w:rsidRPr="00494332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Обучающемуся в рамкахнастоящего Договора являются приказы </w:t>
      </w:r>
      <w:r w:rsidR="004E2EBE" w:rsidRPr="00494332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 w:rsidRPr="00494332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 о переводе с курса на курс,об отчислении/переводе, о выдаче документа о получении образования.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 Стороны пришли к соглашению, что надлежащим извещением Обучающегосяи Заказчика о досрочном расторжении настоящего Договора по инициативе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,об отчислении Обучающегося, о не надлежащем исполнении и (или) неисполненииусловий настоящего Договора, об установлении размера стоимости года обучения понастоящему Договору и необходимости заключения дополнительного соглашения кнастоящему Договору, об изменении условий настоящего Договора является извещениепосредством одного из следующих способов: письменного направления уведомления,телеграммы, телефонограммы, размещения списков отчисляемых обучающихся наофициальном сайте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информационн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стенд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направления коротких текстовыхсообщений (SMS), направленных на номера мобильных телефонов Заказчика иОбучающегося, указ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ные в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Договоре, сообщений по факсу, электронной почтеЗаказчика и Обучающегося, указанным в настоящем Договоре.</w:t>
      </w:r>
    </w:p>
    <w:p w:rsidR="00415D8A" w:rsidRPr="004E2EBE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EBE">
        <w:rPr>
          <w:rFonts w:ascii="Times New Roman" w:hAnsi="Times New Roman" w:cs="Times New Roman"/>
          <w:b/>
          <w:color w:val="000000"/>
          <w:sz w:val="24"/>
          <w:szCs w:val="24"/>
        </w:rPr>
        <w:t>4. Порядок изменения и расторжения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либопо соглашению сторон, либо в соответствии с действующим законодательствомРоссийской Федерации.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 Настоящий Договор может быть расторгнут по инициативе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водностороннем порядке в следующих случаях: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4.3.1. невыполнение Обучающимся по образовательной программе (части образовательной программы) обязанностей по добросовестномуосвоению такой образовательной программы (части образовательной программы) ивыполнению учебного плана;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4.3.2. установление нарушения порядка приема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повлекшего по винеОбучающегося его незаконное зачисление в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4.3.3. просрочка оплаты стоимости платных образовательных услуг по настоящемуДоговору;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4.3.4. невозможность надлежащего исполнения обязательств по оказанию платныхобразовательных услуг вследствие действий (бездействия) Обучающегося;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4.3.5. отчисление 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локальныминормативными актами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0A7587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исполнения обязательств по Договору приусловии полного возмещения Обучающемуся убытков.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 Настоящий Договор может быть расторгнут по инициативе Обучающегося иЗаказчика по следующим основаниям: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4.4.1. в связи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с переводом Обучающегося в другуюобразовательную организацию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4.4.2. в связи с отчислением 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собственномужеланию (при наличии письменного заявления Заказчика), при этом моментомрасторжения настоящего Договора является дата подачи заявления, зафиксированная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документооборота и контроля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 приеме заявления крассмотрению;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4.4.3. при переводе Обучающегося на бюджетную форму обучения вустановленном законодательством Российской Федерации порядке;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4.4.4. в связи с фактом получения в период обучения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высшего образования в друго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й образовательной организации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случае настоящий Договоррасторгается и заключается новый договор на получение образования по программевторого высшего образования между Обучающимся и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4.4.5. в связи с обнаружением Заказчиком существенного недостатка оказанныхплатных образовательных услуг по настоящему Договору или иных существенныхотступлений от условий Договора;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4.4.6. в связи с не устранением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Договором срокнедостатков платных образовательных услуг;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4.4.7. в связи с нарушением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сроков оказания образовательнойуслуги (сроков начала и (или) окончания оказания образовательной услуги и (или)промежуточных сроков оказания образовательной услуги) либо если во время оказанияобразовательной услуги стало очевидным, что она не будет оказана в срок.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4.5. Настоящий Договор может быть расторгнут по обстоятельствам, не зависящимот воли Обучающегося и Заказчика, в том числе в случае ликвидации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При досрочном расторжении настоящего Договора денежные средства, внесенныеЗаказчиком в качестве оплаты образовательных услуг за период до конца месяца, вкотором произошло отчисление согласно приказу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а, Заказчику не возвращаются.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Оставшиеся денежные средства возвращаются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Заказчику пописьменному заявлению последнего в течение месяца с момента обращения только приналичии оригиналов документов, подтверждающих оплату образовательных услуг.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4.6. Заказчик вправе в любое время отказаться от исполнения настоящего Договорапри условии оплаты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понесенных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4.7. Расторжение Договора по инициативе Обучающегося возможно лишь приналичии письменного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согласия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Заказчика. Расторжение Договора в указанном случаевозможно лишь при условии оплаты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понесенных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4.8. В случаях, когда Заказчик не воспользовался своим правом на возвратденежных средств, оставшихся в распоряжении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денежные средствазасчитываются при восстановлении Обучающегося. Указанное право сохраняется заОбучающимся в течение трех лет с даты его отчисления.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4.9. В случае предоставления Обучающемуся академического отпуска, отпуска побеременности и родам, отпуска по уходу за ребенком до достижения им возраста 3-х лет, вслучае болезни, факт которой подтвержден листом о нетрудоспособности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действиеДоговора приостанавливается соответственно до выхода Обучающегося из отпуска иливыздоровления.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4.10. В случае выхода Обучающегося из отпуска (выздоровления) Заказчикпроизводит доплату до стоимости обучения, определенной 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E36616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Ответственность </w:t>
      </w:r>
      <w:r w:rsidR="000A7587" w:rsidRPr="00E36616">
        <w:rPr>
          <w:rFonts w:ascii="Times New Roman" w:hAnsi="Times New Roman" w:cs="Times New Roman"/>
          <w:b/>
          <w:color w:val="000000"/>
          <w:sz w:val="24"/>
          <w:szCs w:val="24"/>
        </w:rPr>
        <w:t>Академии</w:t>
      </w:r>
      <w:r w:rsidRPr="00E36616">
        <w:rPr>
          <w:rFonts w:ascii="Times New Roman" w:hAnsi="Times New Roman" w:cs="Times New Roman"/>
          <w:b/>
          <w:color w:val="000000"/>
          <w:sz w:val="24"/>
          <w:szCs w:val="24"/>
        </w:rPr>
        <w:t>, Заказчика и Обучающегося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поДоговору Стороны несут ответственность, предусмотренную законодательствомРоссийской Федерации и настоящим Договором.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нев полном объеме, предусмотренном образовательными программами (частьюобразовательной программы), Заказчик вправе по своему выбору потребовать: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5.2.1. безвозмездного оказания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5.2.2. соразмерного уменьшения стоимости оказанной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5.2.3. возмещения понесенных им расходов по устранению недостатков оказаннойобразовательной услуги своими силами или третьими лицами.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5.3. Заказчик вправе отказаться от исполнения Договора и потребовать полноговозмещения убытков, если недостатки образовательной услуги не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устранены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="007D3507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согласованные сторонами </w:t>
      </w:r>
      <w:r w:rsidR="007D3507" w:rsidRPr="00DD0C31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Заказчик также вправе отказаться от исполнения Договора, если имобнаружен существенный недостаток оказанной образовательной услуги или иныесущественные отступления от условий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5.4. Если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нарушил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сроки оказания образовательной услуги (срокиначала и (или) окончания оказания образовательной услуги и (или) промежуточные срокиоказания образовательной услуги) либо если во время оказания образовательной услугистало очевидным, что она не будет оказана в срок, Заказчик вправе по своему выбору: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5.4.1. назначить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новый срок, в течение которого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должн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приступить к оказанию образовательной услуги и (или) закончить оказаниеобразовательной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5.4.2. поручить оказать образовательную услугу третьим лицам за разумную цену ипотребовать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возмещения понесенных расходов;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5.4.4. расторгнуть Договор.</w:t>
      </w:r>
    </w:p>
    <w:p w:rsidR="00415D8A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5.5. Все споры, вытекающие из настоящего Договора, решаются путемнепосредственных переговоров, а при недостижении соглашения – в судебном порядке поместу исполнения настоящего Договора.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6. Срок действия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6.1. Настоящий Договор вступает в силу с момента издания приказа о зачисленииОбучающегося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до полного исполнения Сторонами обязательств.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6.2. Под периодом предоставления образовательной услуги (периодом обучения)понимается промежуток времени с даты издания приказа о зачислении Обучающегося в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 даты издания приказа об окончании обучения или отчисленииОбучающегося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7. Заключительные положения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Настоящий Договор составлен в трех экземплярах, по одному для каждой изсторон. Все экземпляры имеют одинаковую юридическую силу, один из которых хранитсяв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второй - у Заказчика, третий – у Обучающегося.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 Изменения и дополнения настоящего Договора могут производиться только вписьменной форме и подписываться уполномоченными представителями Сторон.Изменения настоящего Договора оформляются дополнительными соглашениями кДоговору.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8. Адреса, реквизиты и подписи Сторон</w:t>
      </w:r>
    </w:p>
    <w:p w:rsidR="00DD0C31" w:rsidRPr="007D3507" w:rsidRDefault="007D3507" w:rsidP="00DD0C31">
      <w:pPr>
        <w:pStyle w:val="a3"/>
        <w:tabs>
          <w:tab w:val="clear" w:pos="4677"/>
          <w:tab w:val="clear" w:pos="9355"/>
        </w:tabs>
        <w:contextualSpacing/>
        <w:jc w:val="both"/>
        <w:rPr>
          <w:b/>
        </w:rPr>
      </w:pPr>
      <w:r w:rsidRPr="007D3507">
        <w:rPr>
          <w:b/>
        </w:rPr>
        <w:t>Академия:</w:t>
      </w:r>
    </w:p>
    <w:p w:rsidR="00DD0C31" w:rsidRPr="00DD0C31" w:rsidRDefault="00DD0C31" w:rsidP="00DF5C82">
      <w:pPr>
        <w:pStyle w:val="a3"/>
        <w:tabs>
          <w:tab w:val="clear" w:pos="4677"/>
          <w:tab w:val="clear" w:pos="9355"/>
        </w:tabs>
        <w:contextualSpacing/>
        <w:jc w:val="both"/>
      </w:pPr>
      <w:r w:rsidRPr="00DD0C31">
        <w:t>Государственное научное бюджетное учреждение «Академия наук Республики Татарстан»</w:t>
      </w:r>
    </w:p>
    <w:p w:rsidR="00DD0C31" w:rsidRPr="00DD0C31" w:rsidRDefault="00DD0C31" w:rsidP="00DF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ИНН 1654008987, КПП 165501001, ОКПО 27889993</w:t>
      </w:r>
    </w:p>
    <w:p w:rsidR="00DD0C31" w:rsidRPr="00DD0C31" w:rsidRDefault="00DD0C31" w:rsidP="00DF5C82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Юридический адрес: 420111</w:t>
      </w:r>
      <w:r w:rsidRPr="00DD0C31">
        <w:rPr>
          <w:rFonts w:ascii="Times New Roman" w:hAnsi="Times New Roman" w:cs="Times New Roman"/>
          <w:bCs/>
          <w:sz w:val="24"/>
          <w:szCs w:val="24"/>
        </w:rPr>
        <w:t>, г. Казань, ул.Баумана, д.20.</w:t>
      </w:r>
    </w:p>
    <w:p w:rsidR="00DD0C31" w:rsidRPr="00DD0C31" w:rsidRDefault="00DD0C31" w:rsidP="00DF5C82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Почтовый адрес: 420111</w:t>
      </w:r>
      <w:r w:rsidRPr="00DD0C31">
        <w:rPr>
          <w:rFonts w:ascii="Times New Roman" w:hAnsi="Times New Roman" w:cs="Times New Roman"/>
          <w:bCs/>
          <w:sz w:val="24"/>
          <w:szCs w:val="24"/>
        </w:rPr>
        <w:t>, г. Казань, ул.Баумана, д.20.</w:t>
      </w:r>
    </w:p>
    <w:p w:rsidR="00DD0C31" w:rsidRPr="00DD0C31" w:rsidRDefault="00DD0C31" w:rsidP="00DF5C82">
      <w:pPr>
        <w:pStyle w:val="a5"/>
        <w:suppressAutoHyphens/>
        <w:contextualSpacing/>
        <w:rPr>
          <w:rFonts w:ascii="Times New Roman" w:hAnsi="Times New Roman"/>
          <w:sz w:val="24"/>
          <w:szCs w:val="24"/>
        </w:rPr>
      </w:pPr>
      <w:r w:rsidRPr="00DD0C31">
        <w:rPr>
          <w:rFonts w:ascii="Times New Roman" w:hAnsi="Times New Roman"/>
          <w:bCs/>
          <w:sz w:val="24"/>
          <w:szCs w:val="24"/>
        </w:rPr>
        <w:t>Платежные реквизиты: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Банк: Отделение - НБ Республики Татарстан, БИК 049205001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р/сч 40601810192053000001, Получатель: Министерство финансов РТ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(ГНБУ «Академия наук РТ» л/сч ЛБВ00730002-АкадНаук)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ИНН 1654008987, КПП 165501001</w:t>
      </w:r>
    </w:p>
    <w:p w:rsidR="00DD0C31" w:rsidRPr="00DD0C31" w:rsidRDefault="00DD0C31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D3507" w:rsidRDefault="00415D8A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263C"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r w:rsidR="007D3507" w:rsidRPr="00E426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7D3507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D35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ФИО физического лица или наименование юридического лица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аспортные данные или ОГРН, ИНН юридического лица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дрес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т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ел. (дом., моб.)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e-mail</w:t>
            </w:r>
          </w:p>
        </w:tc>
      </w:tr>
    </w:tbl>
    <w:p w:rsidR="00BD3B50" w:rsidRDefault="00BD3B50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D8A" w:rsidRPr="00BD3B50" w:rsidRDefault="00415D8A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B50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r w:rsidR="007D3507" w:rsidRPr="00BD3B5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D3507" w:rsidRPr="00BD3B50">
        <w:rPr>
          <w:rStyle w:val="aa"/>
          <w:rFonts w:ascii="Times New Roman" w:hAnsi="Times New Roman" w:cs="Times New Roman"/>
          <w:b/>
          <w:color w:val="000000"/>
          <w:sz w:val="24"/>
          <w:szCs w:val="24"/>
        </w:rPr>
        <w:footnoteReference w:id="2"/>
      </w: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7D3507" w:rsidRDefault="00BD3B50" w:rsidP="00BD3B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D35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ФИО физического лица 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аспортные данные 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дрес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т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ел. (дом., моб.)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e-mail</w:t>
            </w:r>
          </w:p>
        </w:tc>
      </w:tr>
    </w:tbl>
    <w:p w:rsidR="00BD3B50" w:rsidRDefault="00BD3B50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3B50" w:rsidRPr="00BD3B50" w:rsidRDefault="00BD3B50" w:rsidP="00BD3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B50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tbl>
      <w:tblPr>
        <w:tblStyle w:val="ab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3213"/>
        <w:gridCol w:w="3216"/>
      </w:tblGrid>
      <w:tr w:rsidR="00BD3B50" w:rsidRPr="00BD3B50" w:rsidTr="00B841E2">
        <w:trPr>
          <w:trHeight w:val="1611"/>
        </w:trPr>
        <w:tc>
          <w:tcPr>
            <w:tcW w:w="3211" w:type="dxa"/>
          </w:tcPr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 Академии наук Республики Татарстан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 М.Х. Салахов</w:t>
            </w:r>
          </w:p>
        </w:tc>
        <w:tc>
          <w:tcPr>
            <w:tcW w:w="3213" w:type="dxa"/>
          </w:tcPr>
          <w:p w:rsidR="00BD3B50" w:rsidRPr="00BD3B50" w:rsidRDefault="00BD3B50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3216" w:type="dxa"/>
          </w:tcPr>
          <w:p w:rsidR="00BD3B50" w:rsidRPr="00BD3B50" w:rsidRDefault="00BD3B50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</w:tc>
      </w:tr>
    </w:tbl>
    <w:p w:rsidR="00BD3B50" w:rsidRDefault="00BD3B50" w:rsidP="00BD3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3B50" w:rsidSect="00B841E2">
      <w:footerReference w:type="default" r:id="rId7"/>
      <w:pgSz w:w="11906" w:h="16838"/>
      <w:pgMar w:top="851" w:right="567" w:bottom="851" w:left="1418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4B" w:rsidRDefault="001B794B" w:rsidP="0004662E">
      <w:pPr>
        <w:spacing w:after="0" w:line="240" w:lineRule="auto"/>
      </w:pPr>
      <w:r>
        <w:separator/>
      </w:r>
    </w:p>
  </w:endnote>
  <w:endnote w:type="continuationSeparator" w:id="1">
    <w:p w:rsidR="001B794B" w:rsidRDefault="001B794B" w:rsidP="0004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921023928"/>
      <w:docPartObj>
        <w:docPartGallery w:val="Page Numbers (Bottom of Page)"/>
        <w:docPartUnique/>
      </w:docPartObj>
    </w:sdtPr>
    <w:sdtContent>
      <w:p w:rsidR="005D0A61" w:rsidRPr="0004662E" w:rsidRDefault="00DB73C7" w:rsidP="0004662E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4662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D0A61" w:rsidRPr="0004662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4662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D5DAB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4662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4B" w:rsidRDefault="001B794B" w:rsidP="0004662E">
      <w:pPr>
        <w:spacing w:after="0" w:line="240" w:lineRule="auto"/>
      </w:pPr>
      <w:r>
        <w:separator/>
      </w:r>
    </w:p>
  </w:footnote>
  <w:footnote w:type="continuationSeparator" w:id="1">
    <w:p w:rsidR="001B794B" w:rsidRDefault="001B794B" w:rsidP="0004662E">
      <w:pPr>
        <w:spacing w:after="0" w:line="240" w:lineRule="auto"/>
      </w:pPr>
      <w:r>
        <w:continuationSeparator/>
      </w:r>
    </w:p>
  </w:footnote>
  <w:footnote w:id="2">
    <w:p w:rsidR="005D0A61" w:rsidRPr="007D3507" w:rsidRDefault="005D0A61">
      <w:pPr>
        <w:pStyle w:val="a8"/>
        <w:rPr>
          <w:rFonts w:ascii="Times New Roman" w:hAnsi="Times New Roman" w:cs="Times New Roman"/>
        </w:rPr>
      </w:pPr>
      <w:r w:rsidRPr="007D3507">
        <w:rPr>
          <w:rStyle w:val="aa"/>
          <w:rFonts w:ascii="Times New Roman" w:hAnsi="Times New Roman" w:cs="Times New Roman"/>
        </w:rPr>
        <w:footnoteRef/>
      </w:r>
      <w:r w:rsidRPr="007D3507">
        <w:rPr>
          <w:rFonts w:ascii="Times New Roman" w:hAnsi="Times New Roman" w:cs="Times New Roman"/>
          <w:color w:val="000000"/>
        </w:rPr>
        <w:t>Заполняется, если Обучающийся не является Заказчиком.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5D8A"/>
    <w:rsid w:val="0001684F"/>
    <w:rsid w:val="0004662E"/>
    <w:rsid w:val="00081F12"/>
    <w:rsid w:val="00090016"/>
    <w:rsid w:val="000A7587"/>
    <w:rsid w:val="00102310"/>
    <w:rsid w:val="001B794B"/>
    <w:rsid w:val="001E1CEC"/>
    <w:rsid w:val="0026598B"/>
    <w:rsid w:val="00415D8A"/>
    <w:rsid w:val="00484B1B"/>
    <w:rsid w:val="00494332"/>
    <w:rsid w:val="004E2EBE"/>
    <w:rsid w:val="005A5C76"/>
    <w:rsid w:val="005D0A61"/>
    <w:rsid w:val="005D5CB1"/>
    <w:rsid w:val="005E18F5"/>
    <w:rsid w:val="005E1C08"/>
    <w:rsid w:val="00641FF6"/>
    <w:rsid w:val="007D3507"/>
    <w:rsid w:val="008D5DAB"/>
    <w:rsid w:val="00A110C5"/>
    <w:rsid w:val="00A80C84"/>
    <w:rsid w:val="00B841E2"/>
    <w:rsid w:val="00B94686"/>
    <w:rsid w:val="00BC596C"/>
    <w:rsid w:val="00BD3B50"/>
    <w:rsid w:val="00BE6E3E"/>
    <w:rsid w:val="00CF5095"/>
    <w:rsid w:val="00D56778"/>
    <w:rsid w:val="00D94F40"/>
    <w:rsid w:val="00DB73C7"/>
    <w:rsid w:val="00DD0C31"/>
    <w:rsid w:val="00DF5C82"/>
    <w:rsid w:val="00E36616"/>
    <w:rsid w:val="00E4263C"/>
    <w:rsid w:val="00EE2E25"/>
    <w:rsid w:val="00F0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0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DD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D0C3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4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62E"/>
  </w:style>
  <w:style w:type="paragraph" w:styleId="a8">
    <w:name w:val="footnote text"/>
    <w:basedOn w:val="a"/>
    <w:link w:val="a9"/>
    <w:uiPriority w:val="99"/>
    <w:semiHidden/>
    <w:unhideWhenUsed/>
    <w:rsid w:val="007D35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35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3507"/>
    <w:rPr>
      <w:vertAlign w:val="superscript"/>
    </w:rPr>
  </w:style>
  <w:style w:type="table" w:styleId="ab">
    <w:name w:val="Table Grid"/>
    <w:basedOn w:val="a1"/>
    <w:uiPriority w:val="59"/>
    <w:rsid w:val="007D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0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DD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D0C3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4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62E"/>
  </w:style>
  <w:style w:type="paragraph" w:styleId="a8">
    <w:name w:val="footnote text"/>
    <w:basedOn w:val="a"/>
    <w:link w:val="a9"/>
    <w:uiPriority w:val="99"/>
    <w:semiHidden/>
    <w:unhideWhenUsed/>
    <w:rsid w:val="007D35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35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3507"/>
    <w:rPr>
      <w:vertAlign w:val="superscript"/>
    </w:rPr>
  </w:style>
  <w:style w:type="table" w:styleId="ab">
    <w:name w:val="Table Grid"/>
    <w:basedOn w:val="a1"/>
    <w:uiPriority w:val="59"/>
    <w:rsid w:val="007D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EF74-A366-4B17-BD69-B095571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MaratMS</dc:creator>
  <cp:lastModifiedBy>ChulpanZA</cp:lastModifiedBy>
  <cp:revision>2</cp:revision>
  <cp:lastPrinted>2016-04-06T07:57:00Z</cp:lastPrinted>
  <dcterms:created xsi:type="dcterms:W3CDTF">2018-04-18T11:44:00Z</dcterms:created>
  <dcterms:modified xsi:type="dcterms:W3CDTF">2018-04-18T11:44:00Z</dcterms:modified>
</cp:coreProperties>
</file>